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浙江科技学院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hint="eastAsia"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经初评和答辩，签署意见后，将申请书（一式两份）报送浙江科技学院</w:t>
      </w:r>
      <w:r>
        <w:rPr>
          <w:rFonts w:hint="eastAsia" w:ascii="仿宋_GB2312" w:eastAsia="仿宋_GB2312"/>
          <w:sz w:val="30"/>
          <w:szCs w:val="30"/>
          <w:lang w:eastAsia="zh-CN"/>
        </w:rPr>
        <w:t>创新创业学院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4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>
            <w:pPr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4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项目简介</w:t>
            </w:r>
          </w:p>
          <w:p>
            <w:pPr>
              <w:numPr>
                <w:ilvl w:val="0"/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4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7CB3BFE"/>
    <w:rsid w:val="2A3F60BA"/>
    <w:rsid w:val="57C83650"/>
    <w:rsid w:val="5DDD4802"/>
    <w:rsid w:val="60354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岁月静好*悠韵</cp:lastModifiedBy>
  <dcterms:modified xsi:type="dcterms:W3CDTF">2018-04-20T02:08:48Z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